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A1C" w:rsidRDefault="00143DF0" w:rsidP="008C6A1C">
      <w:pPr>
        <w:pStyle w:val="IQB-Aufgabentitel"/>
      </w:pPr>
      <w:r w:rsidRPr="00143DF0">
        <w:t xml:space="preserve">Didaktische Handreichung: </w:t>
      </w:r>
      <w:proofErr w:type="spellStart"/>
      <w:r w:rsidR="008C6A1C">
        <w:t>Les</w:t>
      </w:r>
      <w:proofErr w:type="spellEnd"/>
      <w:r w:rsidR="008C6A1C">
        <w:t xml:space="preserve"> </w:t>
      </w:r>
      <w:proofErr w:type="spellStart"/>
      <w:r w:rsidR="008C6A1C">
        <w:t>jeux</w:t>
      </w:r>
      <w:proofErr w:type="spellEnd"/>
      <w:r w:rsidR="008C6A1C">
        <w:t xml:space="preserve"> </w:t>
      </w:r>
      <w:proofErr w:type="spellStart"/>
      <w:r w:rsidR="008C6A1C">
        <w:t>vidéo</w:t>
      </w:r>
      <w:proofErr w:type="spellEnd"/>
    </w:p>
    <w:p w:rsidR="008C6A1C" w:rsidRDefault="008C6A1C" w:rsidP="008C6A1C">
      <w:pPr>
        <w:pStyle w:val="IQB-Aufgabengrafik"/>
      </w:pPr>
      <w:r>
        <w:rPr>
          <w:noProof/>
        </w:rPr>
        <w:drawing>
          <wp:inline distT="0" distB="0" distL="0" distR="0">
            <wp:extent cx="4505325" cy="46672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5325" cy="46672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92"/>
        <w:gridCol w:w="7794"/>
      </w:tblGrid>
      <w:tr w:rsidR="008C6A1C" w:rsidTr="00C23AE2">
        <w:tc>
          <w:tcPr>
            <w:tcW w:w="1526" w:type="dxa"/>
            <w:vAlign w:val="center"/>
          </w:tcPr>
          <w:p w:rsidR="008C6A1C" w:rsidRDefault="008C6A1C" w:rsidP="00C23AE2">
            <w:pPr>
              <w:pStyle w:val="IQB-Merkmal"/>
            </w:pPr>
            <w:r>
              <w:t>Thema</w:t>
            </w:r>
          </w:p>
        </w:tc>
        <w:tc>
          <w:tcPr>
            <w:tcW w:w="8221" w:type="dxa"/>
          </w:tcPr>
          <w:p w:rsidR="008C6A1C" w:rsidRDefault="008C6A1C" w:rsidP="00C23AE2">
            <w:pPr>
              <w:pStyle w:val="IQB-Merkmalswert"/>
            </w:pPr>
            <w:r>
              <w:t>elektronische Medien</w:t>
            </w:r>
          </w:p>
        </w:tc>
      </w:tr>
      <w:tr w:rsidR="008C6A1C" w:rsidTr="00C23AE2">
        <w:tc>
          <w:tcPr>
            <w:tcW w:w="1526" w:type="dxa"/>
            <w:vAlign w:val="center"/>
          </w:tcPr>
          <w:p w:rsidR="008C6A1C" w:rsidRDefault="008C6A1C" w:rsidP="00C23AE2">
            <w:pPr>
              <w:pStyle w:val="IQB-Merkmal"/>
            </w:pPr>
            <w:r>
              <w:t>Textsorte</w:t>
            </w:r>
          </w:p>
        </w:tc>
        <w:tc>
          <w:tcPr>
            <w:tcW w:w="8221" w:type="dxa"/>
          </w:tcPr>
          <w:p w:rsidR="008C6A1C" w:rsidRDefault="008C6A1C" w:rsidP="00C23AE2">
            <w:pPr>
              <w:pStyle w:val="IQB-Merkmalswert"/>
            </w:pPr>
            <w:r>
              <w:t>Interview</w:t>
            </w:r>
          </w:p>
        </w:tc>
      </w:tr>
      <w:tr w:rsidR="008C6A1C" w:rsidTr="00C23AE2">
        <w:tc>
          <w:tcPr>
            <w:tcW w:w="1526" w:type="dxa"/>
            <w:vAlign w:val="center"/>
          </w:tcPr>
          <w:p w:rsidR="008C6A1C" w:rsidRDefault="008C6A1C" w:rsidP="00C23AE2">
            <w:pPr>
              <w:pStyle w:val="IQB-Merkmal"/>
            </w:pPr>
            <w:proofErr w:type="spellStart"/>
            <w:r>
              <w:t>Hörstil</w:t>
            </w:r>
            <w:proofErr w:type="spellEnd"/>
          </w:p>
        </w:tc>
        <w:tc>
          <w:tcPr>
            <w:tcW w:w="8221" w:type="dxa"/>
          </w:tcPr>
          <w:p w:rsidR="008C6A1C" w:rsidRDefault="008C6A1C" w:rsidP="00C23AE2">
            <w:pPr>
              <w:pStyle w:val="IQB-Merkmalswert"/>
            </w:pPr>
            <w:r>
              <w:t>selektiv, global</w:t>
            </w:r>
          </w:p>
        </w:tc>
      </w:tr>
    </w:tbl>
    <w:p w:rsidR="008C6A1C" w:rsidRDefault="008C6A1C" w:rsidP="008C6A1C"/>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501"/>
        <w:gridCol w:w="1946"/>
        <w:gridCol w:w="1946"/>
        <w:gridCol w:w="1946"/>
        <w:gridCol w:w="1947"/>
      </w:tblGrid>
      <w:tr w:rsidR="008C6A1C" w:rsidTr="00C23AE2">
        <w:trPr>
          <w:trHeight w:val="265"/>
        </w:trPr>
        <w:tc>
          <w:tcPr>
            <w:tcW w:w="1526" w:type="dxa"/>
            <w:vAlign w:val="center"/>
          </w:tcPr>
          <w:p w:rsidR="008C6A1C" w:rsidRDefault="008C6A1C" w:rsidP="00C23AE2">
            <w:pPr>
              <w:pStyle w:val="IQB-Merkmal"/>
            </w:pPr>
            <w:r>
              <w:t>Teilaufgabe</w:t>
            </w:r>
          </w:p>
        </w:tc>
        <w:tc>
          <w:tcPr>
            <w:tcW w:w="2055" w:type="dxa"/>
          </w:tcPr>
          <w:p w:rsidR="008C6A1C" w:rsidRDefault="008C6A1C" w:rsidP="00C23AE2">
            <w:pPr>
              <w:pStyle w:val="IQB-Merkmalswert"/>
              <w:jc w:val="center"/>
            </w:pPr>
            <w:r>
              <w:t>1</w:t>
            </w:r>
          </w:p>
        </w:tc>
        <w:tc>
          <w:tcPr>
            <w:tcW w:w="2055" w:type="dxa"/>
          </w:tcPr>
          <w:p w:rsidR="008C6A1C" w:rsidRDefault="008C6A1C" w:rsidP="00C23AE2">
            <w:pPr>
              <w:pStyle w:val="IQB-Merkmalswert"/>
              <w:jc w:val="center"/>
            </w:pPr>
            <w:r>
              <w:t>2</w:t>
            </w:r>
          </w:p>
        </w:tc>
        <w:tc>
          <w:tcPr>
            <w:tcW w:w="2055" w:type="dxa"/>
          </w:tcPr>
          <w:p w:rsidR="008C6A1C" w:rsidRDefault="008C6A1C" w:rsidP="00C23AE2">
            <w:pPr>
              <w:pStyle w:val="IQB-Merkmalswert"/>
              <w:jc w:val="center"/>
            </w:pPr>
            <w:r>
              <w:t>3</w:t>
            </w:r>
          </w:p>
        </w:tc>
        <w:tc>
          <w:tcPr>
            <w:tcW w:w="2056" w:type="dxa"/>
          </w:tcPr>
          <w:p w:rsidR="008C6A1C" w:rsidRDefault="008C6A1C" w:rsidP="00C23AE2">
            <w:pPr>
              <w:pStyle w:val="IQB-Merkmalswert"/>
              <w:jc w:val="center"/>
            </w:pPr>
            <w:r>
              <w:t>4</w:t>
            </w:r>
          </w:p>
        </w:tc>
      </w:tr>
      <w:tr w:rsidR="008C6A1C" w:rsidTr="00C23AE2">
        <w:trPr>
          <w:trHeight w:val="274"/>
        </w:trPr>
        <w:tc>
          <w:tcPr>
            <w:tcW w:w="1526" w:type="dxa"/>
            <w:vAlign w:val="center"/>
          </w:tcPr>
          <w:p w:rsidR="008C6A1C" w:rsidRDefault="008C6A1C" w:rsidP="00C23AE2">
            <w:pPr>
              <w:pStyle w:val="IQB-Merkmal"/>
            </w:pPr>
            <w:r>
              <w:t>Niveaustufe</w:t>
            </w:r>
          </w:p>
        </w:tc>
        <w:tc>
          <w:tcPr>
            <w:tcW w:w="2055" w:type="dxa"/>
          </w:tcPr>
          <w:p w:rsidR="008C6A1C" w:rsidRDefault="008C6A1C" w:rsidP="00C23AE2">
            <w:pPr>
              <w:pStyle w:val="IQB-Merkmalswert"/>
              <w:jc w:val="center"/>
            </w:pPr>
            <w:r>
              <w:t>B1</w:t>
            </w:r>
          </w:p>
        </w:tc>
        <w:tc>
          <w:tcPr>
            <w:tcW w:w="2055" w:type="dxa"/>
          </w:tcPr>
          <w:p w:rsidR="008C6A1C" w:rsidRDefault="008C6A1C" w:rsidP="00C23AE2">
            <w:pPr>
              <w:pStyle w:val="IQB-Merkmalswert"/>
              <w:jc w:val="center"/>
            </w:pPr>
            <w:r>
              <w:t>A2</w:t>
            </w:r>
          </w:p>
        </w:tc>
        <w:tc>
          <w:tcPr>
            <w:tcW w:w="2055" w:type="dxa"/>
          </w:tcPr>
          <w:p w:rsidR="008C6A1C" w:rsidRDefault="008C6A1C" w:rsidP="00C23AE2">
            <w:pPr>
              <w:pStyle w:val="IQB-Merkmalswert"/>
              <w:jc w:val="center"/>
            </w:pPr>
            <w:r>
              <w:t>A2</w:t>
            </w:r>
          </w:p>
        </w:tc>
        <w:tc>
          <w:tcPr>
            <w:tcW w:w="2056" w:type="dxa"/>
          </w:tcPr>
          <w:p w:rsidR="008C6A1C" w:rsidRDefault="008C6A1C" w:rsidP="00C23AE2">
            <w:pPr>
              <w:pStyle w:val="IQB-Merkmalswert"/>
              <w:jc w:val="center"/>
            </w:pPr>
            <w:r>
              <w:t>A2</w:t>
            </w:r>
          </w:p>
        </w:tc>
      </w:tr>
    </w:tbl>
    <w:p w:rsidR="008C6A1C" w:rsidRPr="00AE3DAD" w:rsidRDefault="0088788C" w:rsidP="008C6A1C">
      <w:pPr>
        <w:pStyle w:val="IQB-Teilaufgabentitel"/>
        <w:spacing w:before="120" w:after="120"/>
        <w:rPr>
          <w:rStyle w:val="Fett"/>
          <w:sz w:val="24"/>
        </w:rPr>
      </w:pPr>
      <w:r>
        <w:rPr>
          <w:rStyle w:val="Fett"/>
          <w:sz w:val="24"/>
        </w:rPr>
        <w:t>1</w:t>
      </w:r>
      <w:r w:rsidR="008C6A1C" w:rsidRPr="00AE3DAD">
        <w:rPr>
          <w:rStyle w:val="Fett"/>
          <w:sz w:val="24"/>
        </w:rPr>
        <w:t>.1</w:t>
      </w:r>
    </w:p>
    <w:p w:rsidR="008C6A1C" w:rsidRDefault="008C6A1C" w:rsidP="008C6A1C">
      <w:pPr>
        <w:pStyle w:val="IQB-Teilaufgabengrafik"/>
      </w:pPr>
      <w:r>
        <w:rPr>
          <w:noProof/>
        </w:rPr>
        <w:drawing>
          <wp:inline distT="0" distB="0" distL="0" distR="0">
            <wp:extent cx="4505325" cy="9906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5325" cy="99060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92"/>
        <w:gridCol w:w="7794"/>
      </w:tblGrid>
      <w:tr w:rsidR="008C6A1C" w:rsidTr="00C23AE2">
        <w:tc>
          <w:tcPr>
            <w:tcW w:w="1526" w:type="dxa"/>
            <w:vAlign w:val="center"/>
          </w:tcPr>
          <w:p w:rsidR="008C6A1C" w:rsidRDefault="008C6A1C" w:rsidP="00C23AE2">
            <w:pPr>
              <w:pStyle w:val="IQB-RSCodeValue"/>
            </w:pPr>
            <w:r>
              <w:t>RICHTIG</w:t>
            </w:r>
          </w:p>
        </w:tc>
        <w:tc>
          <w:tcPr>
            <w:tcW w:w="8221" w:type="dxa"/>
          </w:tcPr>
          <w:p w:rsidR="008C6A1C" w:rsidRDefault="008C6A1C" w:rsidP="00C23AE2">
            <w:pPr>
              <w:pStyle w:val="IQB-RSNormal"/>
            </w:pPr>
            <w:r>
              <w:t>nur das 2. Kästchen wurde angekreuzt (</w:t>
            </w:r>
            <w:proofErr w:type="spellStart"/>
            <w:r>
              <w:t>Une</w:t>
            </w:r>
            <w:proofErr w:type="spellEnd"/>
            <w:r>
              <w:t xml:space="preserve"> heure par jour)</w:t>
            </w:r>
          </w:p>
        </w:tc>
      </w:tr>
    </w:tbl>
    <w:p w:rsidR="008C6A1C" w:rsidRPr="00AE3DAD" w:rsidRDefault="0088788C" w:rsidP="008C6A1C">
      <w:pPr>
        <w:pStyle w:val="IQB-Teilaufgabentitel"/>
        <w:spacing w:before="120" w:after="120"/>
        <w:rPr>
          <w:rStyle w:val="Fett"/>
          <w:sz w:val="24"/>
        </w:rPr>
      </w:pPr>
      <w:r>
        <w:rPr>
          <w:rStyle w:val="Fett"/>
          <w:sz w:val="24"/>
        </w:rPr>
        <w:t>1</w:t>
      </w:r>
      <w:r w:rsidR="008C6A1C" w:rsidRPr="00AE3DAD">
        <w:rPr>
          <w:rStyle w:val="Fett"/>
          <w:sz w:val="24"/>
        </w:rPr>
        <w:t>.2</w:t>
      </w:r>
    </w:p>
    <w:p w:rsidR="008C6A1C" w:rsidRDefault="008C6A1C" w:rsidP="008C6A1C">
      <w:pPr>
        <w:pStyle w:val="IQB-Teilaufgabengrafik"/>
      </w:pPr>
      <w:r>
        <w:rPr>
          <w:noProof/>
        </w:rPr>
        <w:drawing>
          <wp:inline distT="0" distB="0" distL="0" distR="0">
            <wp:extent cx="4505325" cy="8572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5325" cy="85725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92"/>
        <w:gridCol w:w="7794"/>
      </w:tblGrid>
      <w:tr w:rsidR="008C6A1C" w:rsidRPr="008C6A1C" w:rsidTr="00C23AE2">
        <w:tc>
          <w:tcPr>
            <w:tcW w:w="1526" w:type="dxa"/>
            <w:vAlign w:val="center"/>
          </w:tcPr>
          <w:p w:rsidR="008C6A1C" w:rsidRDefault="008C6A1C" w:rsidP="00C23AE2">
            <w:pPr>
              <w:pStyle w:val="IQB-RSCodeValue"/>
            </w:pPr>
            <w:r>
              <w:t>RICHTIG</w:t>
            </w:r>
          </w:p>
        </w:tc>
        <w:tc>
          <w:tcPr>
            <w:tcW w:w="8221" w:type="dxa"/>
          </w:tcPr>
          <w:p w:rsidR="008C6A1C" w:rsidRPr="00CC1FA3" w:rsidRDefault="008C6A1C" w:rsidP="00C23AE2">
            <w:pPr>
              <w:pStyle w:val="IQB-RSNormal"/>
              <w:rPr>
                <w:lang w:val="fr-FR"/>
              </w:rPr>
            </w:pPr>
            <w:proofErr w:type="spellStart"/>
            <w:r w:rsidRPr="00CC1FA3">
              <w:rPr>
                <w:lang w:val="fr-FR"/>
              </w:rPr>
              <w:t>nur</w:t>
            </w:r>
            <w:proofErr w:type="spellEnd"/>
            <w:r w:rsidRPr="00CC1FA3">
              <w:rPr>
                <w:lang w:val="fr-FR"/>
              </w:rPr>
              <w:t xml:space="preserve"> </w:t>
            </w:r>
            <w:proofErr w:type="spellStart"/>
            <w:r w:rsidRPr="00CC1FA3">
              <w:rPr>
                <w:lang w:val="fr-FR"/>
              </w:rPr>
              <w:t>das</w:t>
            </w:r>
            <w:proofErr w:type="spellEnd"/>
            <w:r w:rsidRPr="00CC1FA3">
              <w:rPr>
                <w:lang w:val="fr-FR"/>
              </w:rPr>
              <w:t xml:space="preserve"> 2. </w:t>
            </w:r>
            <w:proofErr w:type="spellStart"/>
            <w:r w:rsidRPr="00CC1FA3">
              <w:rPr>
                <w:lang w:val="fr-FR"/>
              </w:rPr>
              <w:t>Kästchen</w:t>
            </w:r>
            <w:proofErr w:type="spellEnd"/>
            <w:r w:rsidRPr="00CC1FA3">
              <w:rPr>
                <w:lang w:val="fr-FR"/>
              </w:rPr>
              <w:t xml:space="preserve"> </w:t>
            </w:r>
            <w:proofErr w:type="spellStart"/>
            <w:r w:rsidRPr="00CC1FA3">
              <w:rPr>
                <w:lang w:val="fr-FR"/>
              </w:rPr>
              <w:t>wurde</w:t>
            </w:r>
            <w:proofErr w:type="spellEnd"/>
            <w:r w:rsidRPr="00CC1FA3">
              <w:rPr>
                <w:lang w:val="fr-FR"/>
              </w:rPr>
              <w:t xml:space="preserve"> </w:t>
            </w:r>
            <w:proofErr w:type="spellStart"/>
            <w:r w:rsidRPr="00CC1FA3">
              <w:rPr>
                <w:lang w:val="fr-FR"/>
              </w:rPr>
              <w:t>angekreuzt</w:t>
            </w:r>
            <w:proofErr w:type="spellEnd"/>
            <w:r w:rsidRPr="00CC1FA3">
              <w:rPr>
                <w:lang w:val="fr-FR"/>
              </w:rPr>
              <w:t xml:space="preserve"> (passe trop de temps devant les jeux vidéo)</w:t>
            </w:r>
          </w:p>
        </w:tc>
      </w:tr>
    </w:tbl>
    <w:p w:rsidR="008C6A1C" w:rsidRPr="00AE3DAD" w:rsidRDefault="0088788C" w:rsidP="008C6A1C">
      <w:pPr>
        <w:pStyle w:val="IQB-Teilaufgabentitel"/>
        <w:spacing w:before="120" w:after="120"/>
        <w:rPr>
          <w:rStyle w:val="Fett"/>
          <w:sz w:val="24"/>
        </w:rPr>
      </w:pPr>
      <w:r>
        <w:rPr>
          <w:rStyle w:val="Fett"/>
          <w:sz w:val="24"/>
        </w:rPr>
        <w:t>1</w:t>
      </w:r>
      <w:bookmarkStart w:id="0" w:name="_GoBack"/>
      <w:bookmarkEnd w:id="0"/>
      <w:r w:rsidR="008C6A1C" w:rsidRPr="00AE3DAD">
        <w:rPr>
          <w:rStyle w:val="Fett"/>
          <w:sz w:val="24"/>
        </w:rPr>
        <w:t>.3</w:t>
      </w:r>
    </w:p>
    <w:p w:rsidR="008C6A1C" w:rsidRDefault="008C6A1C" w:rsidP="008C6A1C">
      <w:pPr>
        <w:pStyle w:val="IQB-Teilaufgabengrafik"/>
      </w:pPr>
      <w:r>
        <w:rPr>
          <w:noProof/>
        </w:rPr>
        <w:drawing>
          <wp:inline distT="0" distB="0" distL="0" distR="0">
            <wp:extent cx="4505325" cy="8572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05325" cy="85725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92"/>
        <w:gridCol w:w="7794"/>
      </w:tblGrid>
      <w:tr w:rsidR="008C6A1C" w:rsidTr="00C23AE2">
        <w:tc>
          <w:tcPr>
            <w:tcW w:w="1526" w:type="dxa"/>
            <w:vAlign w:val="center"/>
          </w:tcPr>
          <w:p w:rsidR="008C6A1C" w:rsidRDefault="008C6A1C" w:rsidP="00C23AE2">
            <w:pPr>
              <w:pStyle w:val="IQB-RSCodeValue"/>
            </w:pPr>
            <w:r>
              <w:t>RICHTIG</w:t>
            </w:r>
          </w:p>
        </w:tc>
        <w:tc>
          <w:tcPr>
            <w:tcW w:w="8221" w:type="dxa"/>
          </w:tcPr>
          <w:p w:rsidR="008C6A1C" w:rsidRDefault="008C6A1C" w:rsidP="00C23AE2">
            <w:pPr>
              <w:pStyle w:val="IQB-RSNormal"/>
            </w:pPr>
            <w:r>
              <w:t>nur das 3. Kästchen wurde angekreuzt (</w:t>
            </w:r>
            <w:proofErr w:type="spellStart"/>
            <w:r>
              <w:t>Les</w:t>
            </w:r>
            <w:proofErr w:type="spellEnd"/>
            <w:r>
              <w:t xml:space="preserve"> </w:t>
            </w:r>
            <w:proofErr w:type="spellStart"/>
            <w:r>
              <w:t>jeux</w:t>
            </w:r>
            <w:proofErr w:type="spellEnd"/>
            <w:r>
              <w:t xml:space="preserve"> </w:t>
            </w:r>
            <w:proofErr w:type="spellStart"/>
            <w:r>
              <w:t>vidéo</w:t>
            </w:r>
            <w:proofErr w:type="spellEnd"/>
            <w:r>
              <w:t xml:space="preserve"> </w:t>
            </w:r>
            <w:proofErr w:type="spellStart"/>
            <w:r>
              <w:t>sont</w:t>
            </w:r>
            <w:proofErr w:type="spellEnd"/>
            <w:r>
              <w:t xml:space="preserve"> </w:t>
            </w:r>
            <w:proofErr w:type="spellStart"/>
            <w:r>
              <w:t>trop</w:t>
            </w:r>
            <w:proofErr w:type="spellEnd"/>
            <w:r>
              <w:t xml:space="preserve"> </w:t>
            </w:r>
            <w:proofErr w:type="spellStart"/>
            <w:r>
              <w:t>cher</w:t>
            </w:r>
            <w:proofErr w:type="spellEnd"/>
            <w:r>
              <w:t>)</w:t>
            </w:r>
          </w:p>
        </w:tc>
      </w:tr>
    </w:tbl>
    <w:p w:rsidR="008C6A1C" w:rsidRPr="00AE3DAD" w:rsidRDefault="0088788C" w:rsidP="008C6A1C">
      <w:pPr>
        <w:pStyle w:val="IQB-Teilaufgabentitel"/>
        <w:spacing w:before="120" w:after="120"/>
        <w:rPr>
          <w:rStyle w:val="Fett"/>
          <w:sz w:val="24"/>
        </w:rPr>
      </w:pPr>
      <w:r>
        <w:rPr>
          <w:rStyle w:val="Fett"/>
          <w:sz w:val="24"/>
        </w:rPr>
        <w:t>1</w:t>
      </w:r>
      <w:r w:rsidR="008C6A1C" w:rsidRPr="00AE3DAD">
        <w:rPr>
          <w:rStyle w:val="Fett"/>
          <w:sz w:val="24"/>
        </w:rPr>
        <w:t>.4</w:t>
      </w:r>
    </w:p>
    <w:p w:rsidR="008C6A1C" w:rsidRDefault="008C6A1C" w:rsidP="008C6A1C">
      <w:pPr>
        <w:pStyle w:val="IQB-Teilaufgabengrafik"/>
      </w:pPr>
      <w:r>
        <w:rPr>
          <w:noProof/>
        </w:rPr>
        <w:drawing>
          <wp:inline distT="0" distB="0" distL="0" distR="0">
            <wp:extent cx="4505325" cy="8572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5325" cy="85725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92"/>
        <w:gridCol w:w="7794"/>
      </w:tblGrid>
      <w:tr w:rsidR="008C6A1C" w:rsidRPr="008C6A1C" w:rsidTr="00C23AE2">
        <w:tc>
          <w:tcPr>
            <w:tcW w:w="1526" w:type="dxa"/>
            <w:vAlign w:val="center"/>
          </w:tcPr>
          <w:p w:rsidR="008C6A1C" w:rsidRDefault="008C6A1C" w:rsidP="00C23AE2">
            <w:pPr>
              <w:pStyle w:val="IQB-RSCodeValue"/>
            </w:pPr>
            <w:r>
              <w:t>RICHTIG</w:t>
            </w:r>
          </w:p>
        </w:tc>
        <w:tc>
          <w:tcPr>
            <w:tcW w:w="8221" w:type="dxa"/>
          </w:tcPr>
          <w:p w:rsidR="008C6A1C" w:rsidRPr="00CC1FA3" w:rsidRDefault="008C6A1C" w:rsidP="00C23AE2">
            <w:pPr>
              <w:pStyle w:val="IQB-RSNormal"/>
              <w:rPr>
                <w:lang w:val="fr-FR"/>
              </w:rPr>
            </w:pPr>
            <w:proofErr w:type="spellStart"/>
            <w:r w:rsidRPr="00CC1FA3">
              <w:rPr>
                <w:lang w:val="fr-FR"/>
              </w:rPr>
              <w:t>nur</w:t>
            </w:r>
            <w:proofErr w:type="spellEnd"/>
            <w:r w:rsidRPr="00CC1FA3">
              <w:rPr>
                <w:lang w:val="fr-FR"/>
              </w:rPr>
              <w:t xml:space="preserve"> </w:t>
            </w:r>
            <w:proofErr w:type="spellStart"/>
            <w:r w:rsidRPr="00CC1FA3">
              <w:rPr>
                <w:lang w:val="fr-FR"/>
              </w:rPr>
              <w:t>das</w:t>
            </w:r>
            <w:proofErr w:type="spellEnd"/>
            <w:r w:rsidRPr="00CC1FA3">
              <w:rPr>
                <w:lang w:val="fr-FR"/>
              </w:rPr>
              <w:t xml:space="preserve"> 1. </w:t>
            </w:r>
            <w:proofErr w:type="spellStart"/>
            <w:r w:rsidRPr="00CC1FA3">
              <w:rPr>
                <w:lang w:val="fr-FR"/>
              </w:rPr>
              <w:t>Kästchen</w:t>
            </w:r>
            <w:proofErr w:type="spellEnd"/>
            <w:r w:rsidRPr="00CC1FA3">
              <w:rPr>
                <w:lang w:val="fr-FR"/>
              </w:rPr>
              <w:t xml:space="preserve"> </w:t>
            </w:r>
            <w:proofErr w:type="spellStart"/>
            <w:r w:rsidRPr="00CC1FA3">
              <w:rPr>
                <w:lang w:val="fr-FR"/>
              </w:rPr>
              <w:t>wurde</w:t>
            </w:r>
            <w:proofErr w:type="spellEnd"/>
            <w:r w:rsidRPr="00CC1FA3">
              <w:rPr>
                <w:lang w:val="fr-FR"/>
              </w:rPr>
              <w:t xml:space="preserve"> </w:t>
            </w:r>
            <w:proofErr w:type="spellStart"/>
            <w:r w:rsidRPr="00CC1FA3">
              <w:rPr>
                <w:lang w:val="fr-FR"/>
              </w:rPr>
              <w:t>angekreuzt</w:t>
            </w:r>
            <w:proofErr w:type="spellEnd"/>
            <w:r w:rsidRPr="00CC1FA3">
              <w:rPr>
                <w:lang w:val="fr-FR"/>
              </w:rPr>
              <w:t xml:space="preserve"> (énervée par ses copains accros aux jeux vidéo)</w:t>
            </w:r>
          </w:p>
        </w:tc>
      </w:tr>
    </w:tbl>
    <w:p w:rsidR="008C6A1C" w:rsidRPr="0053290E" w:rsidRDefault="008C6A1C" w:rsidP="008C6A1C">
      <w:pPr>
        <w:pStyle w:val="berschrift2"/>
        <w:spacing w:before="240" w:after="120" w:line="288" w:lineRule="auto"/>
        <w:rPr>
          <w:iCs w:val="0"/>
        </w:rPr>
      </w:pPr>
      <w:r w:rsidRPr="0053290E">
        <w:t>Aufgabenbezogener Kommentar</w:t>
      </w:r>
    </w:p>
    <w:p w:rsidR="008C6A1C" w:rsidRDefault="008C6A1C" w:rsidP="008C6A1C">
      <w:pPr>
        <w:pStyle w:val="Flietext"/>
        <w:spacing w:after="0" w:line="288" w:lineRule="auto"/>
      </w:pPr>
      <w:r>
        <w:t xml:space="preserve">Die Aufgabe erfordert, in einem Interview die Aussagen von vier Personen zu Videospielen zu verstehen. Davon geht es einmal um eine Einzelinformation (Wie viele Stunden werden gespielt?), d. h. selektives Hörverstehen. Bei den anderen Teilaufgaben ergibt sich die </w:t>
      </w:r>
      <w:r>
        <w:lastRenderedPageBreak/>
        <w:t>richtige Lösung aus mehreren Antwortbestandteilen, so dass hier das globale Hörverstehen überwiegt.</w:t>
      </w:r>
    </w:p>
    <w:p w:rsidR="008C6A1C" w:rsidRDefault="008C6A1C" w:rsidP="008C6A1C">
      <w:pPr>
        <w:pStyle w:val="Aufzhlung"/>
        <w:numPr>
          <w:ilvl w:val="0"/>
          <w:numId w:val="0"/>
        </w:numPr>
        <w:spacing w:before="120" w:after="120" w:line="288" w:lineRule="auto"/>
        <w:ind w:left="360" w:hanging="360"/>
      </w:pPr>
      <w:r>
        <w:t>Mögliche Bearbeitungsschritte:</w:t>
      </w:r>
    </w:p>
    <w:p w:rsidR="008C6A1C" w:rsidRDefault="008C6A1C" w:rsidP="008C6A1C">
      <w:pPr>
        <w:pStyle w:val="Aufzhlung"/>
        <w:numPr>
          <w:ilvl w:val="0"/>
          <w:numId w:val="12"/>
        </w:numPr>
        <w:spacing w:before="0" w:line="288" w:lineRule="auto"/>
        <w:ind w:left="426" w:hanging="426"/>
      </w:pPr>
      <w:r w:rsidRPr="002135D7">
        <w:t xml:space="preserve">Hörerwartung </w:t>
      </w:r>
      <w:r>
        <w:t xml:space="preserve">zu Thema und Textsorte </w:t>
      </w:r>
      <w:r w:rsidRPr="002135D7">
        <w:t>au</w:t>
      </w:r>
      <w:r>
        <w:t>fbauen: Überschrift und Situierung (</w:t>
      </w:r>
      <w:proofErr w:type="spellStart"/>
      <w:r w:rsidRPr="005B781C">
        <w:rPr>
          <w:i/>
        </w:rPr>
        <w:t>les</w:t>
      </w:r>
      <w:proofErr w:type="spellEnd"/>
      <w:r w:rsidRPr="005B781C">
        <w:rPr>
          <w:i/>
        </w:rPr>
        <w:t xml:space="preserve"> </w:t>
      </w:r>
      <w:proofErr w:type="spellStart"/>
      <w:r w:rsidRPr="005B781C">
        <w:rPr>
          <w:i/>
        </w:rPr>
        <w:t>jeux</w:t>
      </w:r>
      <w:proofErr w:type="spellEnd"/>
      <w:r w:rsidRPr="005B781C">
        <w:rPr>
          <w:i/>
        </w:rPr>
        <w:t xml:space="preserve"> </w:t>
      </w:r>
      <w:proofErr w:type="spellStart"/>
      <w:r w:rsidRPr="005B781C">
        <w:rPr>
          <w:i/>
        </w:rPr>
        <w:t>vidéo</w:t>
      </w:r>
      <w:proofErr w:type="spellEnd"/>
      <w:r w:rsidRPr="005B781C">
        <w:rPr>
          <w:i/>
        </w:rPr>
        <w:t xml:space="preserve">, </w:t>
      </w:r>
      <w:proofErr w:type="spellStart"/>
      <w:r w:rsidRPr="005B781C">
        <w:rPr>
          <w:i/>
        </w:rPr>
        <w:t>un</w:t>
      </w:r>
      <w:proofErr w:type="spellEnd"/>
      <w:r>
        <w:t xml:space="preserve"> </w:t>
      </w:r>
      <w:proofErr w:type="spellStart"/>
      <w:r w:rsidRPr="005B781C">
        <w:rPr>
          <w:i/>
        </w:rPr>
        <w:t>reportage</w:t>
      </w:r>
      <w:proofErr w:type="spellEnd"/>
      <w:r>
        <w:t xml:space="preserve">) </w:t>
      </w:r>
    </w:p>
    <w:p w:rsidR="008C6A1C" w:rsidRDefault="008C6A1C" w:rsidP="008C6A1C">
      <w:pPr>
        <w:pStyle w:val="Aufzhlung"/>
        <w:numPr>
          <w:ilvl w:val="0"/>
          <w:numId w:val="12"/>
        </w:numPr>
        <w:spacing w:before="0" w:line="288" w:lineRule="auto"/>
        <w:ind w:left="426" w:hanging="426"/>
      </w:pPr>
      <w:r w:rsidRPr="002135D7">
        <w:t xml:space="preserve">Hörerwartung durch </w:t>
      </w:r>
      <w:r>
        <w:t xml:space="preserve">genaues Lesen der Teilaufgaben spezifizieren </w:t>
      </w:r>
    </w:p>
    <w:p w:rsidR="008C6A1C" w:rsidRDefault="008C6A1C" w:rsidP="008C6A1C">
      <w:pPr>
        <w:pStyle w:val="Aufzhlung"/>
        <w:numPr>
          <w:ilvl w:val="0"/>
          <w:numId w:val="12"/>
        </w:numPr>
        <w:spacing w:before="0" w:line="288" w:lineRule="auto"/>
        <w:ind w:left="426" w:hanging="426"/>
      </w:pPr>
      <w:r>
        <w:t>Teilaufgaben 1 und 2: Signalwörter zum Auffinden der Antworten im Hörtext bestimmen (</w:t>
      </w:r>
      <w:proofErr w:type="spellStart"/>
      <w:r w:rsidRPr="005B781C">
        <w:rPr>
          <w:i/>
        </w:rPr>
        <w:t>heures</w:t>
      </w:r>
      <w:proofErr w:type="spellEnd"/>
      <w:r w:rsidRPr="005B781C">
        <w:rPr>
          <w:i/>
        </w:rPr>
        <w:t xml:space="preserve">, </w:t>
      </w:r>
      <w:proofErr w:type="spellStart"/>
      <w:r w:rsidRPr="005B781C">
        <w:rPr>
          <w:i/>
        </w:rPr>
        <w:t>parents</w:t>
      </w:r>
      <w:proofErr w:type="spellEnd"/>
      <w:r>
        <w:t xml:space="preserve">) </w:t>
      </w:r>
    </w:p>
    <w:p w:rsidR="008C6A1C" w:rsidRDefault="008C6A1C" w:rsidP="008C6A1C">
      <w:pPr>
        <w:pStyle w:val="Aufzhlung"/>
        <w:numPr>
          <w:ilvl w:val="0"/>
          <w:numId w:val="12"/>
        </w:numPr>
        <w:spacing w:before="0" w:line="288" w:lineRule="auto"/>
        <w:ind w:left="426" w:hanging="426"/>
      </w:pPr>
      <w:r>
        <w:t xml:space="preserve">Teilaufgabe 1: zutreffende Antwort, markiert durch </w:t>
      </w:r>
      <w:proofErr w:type="spellStart"/>
      <w:r w:rsidRPr="005B781C">
        <w:rPr>
          <w:i/>
        </w:rPr>
        <w:t>maintenant</w:t>
      </w:r>
      <w:proofErr w:type="spellEnd"/>
      <w:r>
        <w:t xml:space="preserve"> und </w:t>
      </w:r>
      <w:r w:rsidRPr="005B781C">
        <w:rPr>
          <w:i/>
        </w:rPr>
        <w:t>par jour</w:t>
      </w:r>
      <w:r>
        <w:t xml:space="preserve">, zuordnen </w:t>
      </w:r>
    </w:p>
    <w:p w:rsidR="008C6A1C" w:rsidRDefault="008C6A1C" w:rsidP="008C6A1C">
      <w:pPr>
        <w:pStyle w:val="Aufzhlung"/>
        <w:numPr>
          <w:ilvl w:val="0"/>
          <w:numId w:val="12"/>
        </w:numPr>
        <w:spacing w:before="0" w:line="288" w:lineRule="auto"/>
        <w:ind w:left="426" w:hanging="426"/>
      </w:pPr>
      <w:r>
        <w:t>Teilaufgabe 2: Antwortmöglichkeiten 1 und 3 als nicht im zugehörigen Textteil genannt und damit als falsch ausschließen</w:t>
      </w:r>
    </w:p>
    <w:p w:rsidR="008C6A1C" w:rsidRDefault="008C6A1C" w:rsidP="008C6A1C">
      <w:pPr>
        <w:pStyle w:val="Aufzhlung"/>
        <w:numPr>
          <w:ilvl w:val="0"/>
          <w:numId w:val="12"/>
        </w:numPr>
        <w:spacing w:before="0" w:line="288" w:lineRule="auto"/>
        <w:ind w:left="426" w:hanging="426"/>
      </w:pPr>
      <w:r>
        <w:t>Teilaufgabe 3: Antwortmöglichkeit 3 als Zusammenfassung des Textteils erkennen</w:t>
      </w:r>
    </w:p>
    <w:p w:rsidR="008C6A1C" w:rsidRDefault="008C6A1C" w:rsidP="008C6A1C">
      <w:pPr>
        <w:pStyle w:val="Aufzhlung"/>
        <w:numPr>
          <w:ilvl w:val="0"/>
          <w:numId w:val="12"/>
        </w:numPr>
        <w:spacing w:before="0" w:line="288" w:lineRule="auto"/>
        <w:ind w:left="426" w:hanging="426"/>
      </w:pPr>
      <w:r>
        <w:t>Teilaufgabe 4:</w:t>
      </w:r>
      <w:r>
        <w:rPr>
          <w:rFonts w:ascii="Vrinda" w:hAnsi="Vrinda" w:cs="Vrinda"/>
        </w:rPr>
        <w:t> </w:t>
      </w:r>
      <w:r>
        <w:t>Antwortmöglichkeit 1 als Zusammenfassung des Textteils erkennen, Stimmung der Sprecherin als zusätzliche Hilfe nutzen</w:t>
      </w:r>
      <w:r w:rsidRPr="008B7E45">
        <w:rPr>
          <w:i/>
        </w:rPr>
        <w:t xml:space="preserve"> </w:t>
      </w:r>
    </w:p>
    <w:p w:rsidR="008C6A1C" w:rsidRDefault="008C6A1C" w:rsidP="008C6A1C">
      <w:pPr>
        <w:pStyle w:val="Aufzhlung"/>
        <w:numPr>
          <w:ilvl w:val="0"/>
          <w:numId w:val="12"/>
        </w:numPr>
        <w:spacing w:before="0" w:line="288" w:lineRule="auto"/>
        <w:ind w:left="426" w:hanging="426"/>
      </w:pPr>
      <w:r>
        <w:t>zweites Hören zum Ergänzen und zur Kontrolle nutzen</w:t>
      </w:r>
    </w:p>
    <w:p w:rsidR="008C6A1C" w:rsidRDefault="008C6A1C" w:rsidP="008C6A1C">
      <w:pPr>
        <w:pStyle w:val="Aufzhlung"/>
        <w:numPr>
          <w:ilvl w:val="0"/>
          <w:numId w:val="0"/>
        </w:numPr>
        <w:spacing w:before="120" w:after="120" w:line="288" w:lineRule="auto"/>
      </w:pPr>
      <w:r>
        <w:t>Mögliche Schwierigkeiten:</w:t>
      </w:r>
    </w:p>
    <w:p w:rsidR="008C6A1C" w:rsidRDefault="008C6A1C" w:rsidP="008C6A1C">
      <w:pPr>
        <w:pStyle w:val="Aufzhlung"/>
        <w:numPr>
          <w:ilvl w:val="0"/>
          <w:numId w:val="12"/>
        </w:numPr>
        <w:spacing w:before="0" w:line="288" w:lineRule="auto"/>
        <w:ind w:left="426" w:hanging="426"/>
      </w:pPr>
      <w:r>
        <w:t xml:space="preserve">relativ hohe Sprechgeschwindigkeit </w:t>
      </w:r>
    </w:p>
    <w:p w:rsidR="008C6A1C" w:rsidRDefault="008C6A1C" w:rsidP="008C6A1C">
      <w:pPr>
        <w:pStyle w:val="Aufzhlung"/>
        <w:numPr>
          <w:ilvl w:val="0"/>
          <w:numId w:val="12"/>
        </w:numPr>
        <w:spacing w:before="0" w:line="288" w:lineRule="auto"/>
        <w:ind w:left="426" w:hanging="426"/>
      </w:pPr>
      <w:r>
        <w:t xml:space="preserve">Hintergrundgeräusche erschweren eventuell das Verstehen </w:t>
      </w:r>
    </w:p>
    <w:p w:rsidR="008C6A1C" w:rsidRDefault="008C6A1C" w:rsidP="008C6A1C">
      <w:pPr>
        <w:pStyle w:val="Aufzhlung"/>
        <w:numPr>
          <w:ilvl w:val="0"/>
          <w:numId w:val="12"/>
        </w:numPr>
        <w:spacing w:before="0" w:line="288" w:lineRule="auto"/>
        <w:ind w:left="426" w:hanging="426"/>
      </w:pPr>
      <w:r>
        <w:t>relativ viel muss gelesen werden</w:t>
      </w:r>
    </w:p>
    <w:p w:rsidR="008C6A1C" w:rsidRDefault="008C6A1C" w:rsidP="008C6A1C">
      <w:pPr>
        <w:pStyle w:val="Aufzhlung"/>
        <w:numPr>
          <w:ilvl w:val="0"/>
          <w:numId w:val="12"/>
        </w:numPr>
        <w:spacing w:before="0" w:line="288" w:lineRule="auto"/>
        <w:ind w:left="426" w:hanging="426"/>
      </w:pPr>
      <w:r>
        <w:t xml:space="preserve">auf dieser Stufe eventuell unbekannter Wortschatz (z. B. </w:t>
      </w:r>
      <w:proofErr w:type="spellStart"/>
      <w:r w:rsidRPr="00EB4EC7">
        <w:rPr>
          <w:i/>
        </w:rPr>
        <w:t>accrochés</w:t>
      </w:r>
      <w:proofErr w:type="spellEnd"/>
      <w:r w:rsidRPr="00EB4EC7">
        <w:rPr>
          <w:i/>
        </w:rPr>
        <w:t xml:space="preserve">, </w:t>
      </w:r>
      <w:proofErr w:type="spellStart"/>
      <w:r w:rsidRPr="00EB4EC7">
        <w:rPr>
          <w:i/>
        </w:rPr>
        <w:t>m’ennuie</w:t>
      </w:r>
      <w:proofErr w:type="spellEnd"/>
      <w:r w:rsidRPr="00EB4EC7">
        <w:rPr>
          <w:i/>
        </w:rPr>
        <w:t xml:space="preserve">, </w:t>
      </w:r>
      <w:proofErr w:type="spellStart"/>
      <w:r w:rsidRPr="00EB4EC7">
        <w:rPr>
          <w:i/>
        </w:rPr>
        <w:t>m’embêtent</w:t>
      </w:r>
      <w:proofErr w:type="spellEnd"/>
      <w:r>
        <w:t xml:space="preserve">) </w:t>
      </w:r>
    </w:p>
    <w:p w:rsidR="008C6A1C" w:rsidRDefault="008C6A1C" w:rsidP="008C6A1C">
      <w:pPr>
        <w:pStyle w:val="Aufzhlung"/>
        <w:numPr>
          <w:ilvl w:val="0"/>
          <w:numId w:val="12"/>
        </w:numPr>
        <w:spacing w:before="0" w:line="288" w:lineRule="auto"/>
        <w:ind w:left="426" w:hanging="426"/>
      </w:pPr>
      <w:r>
        <w:t xml:space="preserve">komplexe Strukturen: Funktion der Zeitformen muss erkannt werden (besonders Teilaufgabe 1), Funktion der Pronomen muss erkannt werden (z. B. </w:t>
      </w:r>
      <w:proofErr w:type="spellStart"/>
      <w:r>
        <w:rPr>
          <w:i/>
        </w:rPr>
        <w:t>j’ai</w:t>
      </w:r>
      <w:proofErr w:type="spellEnd"/>
      <w:r>
        <w:rPr>
          <w:i/>
        </w:rPr>
        <w:t xml:space="preserve"> </w:t>
      </w:r>
      <w:proofErr w:type="spellStart"/>
      <w:r>
        <w:rPr>
          <w:i/>
        </w:rPr>
        <w:t>envie</w:t>
      </w:r>
      <w:proofErr w:type="spellEnd"/>
      <w:r>
        <w:rPr>
          <w:i/>
        </w:rPr>
        <w:t xml:space="preserve"> de le faire, </w:t>
      </w:r>
      <w:proofErr w:type="spellStart"/>
      <w:r>
        <w:rPr>
          <w:i/>
        </w:rPr>
        <w:t>j’en</w:t>
      </w:r>
      <w:proofErr w:type="spellEnd"/>
      <w:r>
        <w:rPr>
          <w:i/>
        </w:rPr>
        <w:t xml:space="preserve"> </w:t>
      </w:r>
      <w:proofErr w:type="spellStart"/>
      <w:r>
        <w:rPr>
          <w:i/>
        </w:rPr>
        <w:t>achetais</w:t>
      </w:r>
      <w:proofErr w:type="spellEnd"/>
      <w:r>
        <w:rPr>
          <w:i/>
        </w:rPr>
        <w:t xml:space="preserve">, </w:t>
      </w:r>
      <w:proofErr w:type="spellStart"/>
      <w:r>
        <w:rPr>
          <w:i/>
        </w:rPr>
        <w:t>il</w:t>
      </w:r>
      <w:proofErr w:type="spellEnd"/>
      <w:r>
        <w:rPr>
          <w:i/>
        </w:rPr>
        <w:t> y en a </w:t>
      </w:r>
      <w:proofErr w:type="spellStart"/>
      <w:r>
        <w:rPr>
          <w:i/>
        </w:rPr>
        <w:t>qui</w:t>
      </w:r>
      <w:proofErr w:type="spellEnd"/>
      <w:r>
        <w:rPr>
          <w:i/>
        </w:rPr>
        <w:t xml:space="preserve"> …, </w:t>
      </w:r>
      <w:proofErr w:type="spellStart"/>
      <w:r>
        <w:rPr>
          <w:i/>
        </w:rPr>
        <w:t>avec</w:t>
      </w:r>
      <w:proofErr w:type="spellEnd"/>
      <w:r>
        <w:rPr>
          <w:i/>
        </w:rPr>
        <w:t xml:space="preserve"> </w:t>
      </w:r>
      <w:proofErr w:type="spellStart"/>
      <w:r>
        <w:rPr>
          <w:i/>
        </w:rPr>
        <w:t>eux</w:t>
      </w:r>
      <w:proofErr w:type="spellEnd"/>
      <w:r w:rsidRPr="00EB4EC7">
        <w:t>)</w:t>
      </w:r>
      <w:r>
        <w:t>,</w:t>
      </w:r>
      <w:r w:rsidRPr="00EB4EC7">
        <w:t xml:space="preserve"> </w:t>
      </w:r>
      <w:r>
        <w:rPr>
          <w:i/>
        </w:rPr>
        <w:t xml:space="preserve"> </w:t>
      </w:r>
      <w:r>
        <w:t>indirekte Rede</w:t>
      </w:r>
    </w:p>
    <w:p w:rsidR="008C6A1C" w:rsidRDefault="008C6A1C" w:rsidP="008C6A1C">
      <w:pPr>
        <w:pStyle w:val="Aufzhlung"/>
        <w:numPr>
          <w:ilvl w:val="0"/>
          <w:numId w:val="12"/>
        </w:numPr>
        <w:spacing w:before="0" w:line="288" w:lineRule="auto"/>
        <w:ind w:left="426" w:hanging="426"/>
      </w:pPr>
      <w:r>
        <w:t>geringe lexikalische Überlappung zwischen Aufgaben und Text</w:t>
      </w:r>
    </w:p>
    <w:p w:rsidR="008C6A1C" w:rsidRPr="00455169" w:rsidRDefault="008C6A1C" w:rsidP="008C6A1C">
      <w:pPr>
        <w:pStyle w:val="Aufzhlung"/>
        <w:numPr>
          <w:ilvl w:val="0"/>
          <w:numId w:val="12"/>
        </w:numPr>
        <w:spacing w:before="0" w:line="288" w:lineRule="auto"/>
        <w:ind w:left="426" w:hanging="426"/>
      </w:pPr>
      <w:r>
        <w:t xml:space="preserve">die Antworten erfordern meist die Abstraktion des Inhalts des gesamten Textabschnittes </w:t>
      </w:r>
    </w:p>
    <w:p w:rsidR="008C6A1C" w:rsidRPr="0053290E" w:rsidRDefault="008C6A1C" w:rsidP="008C6A1C">
      <w:pPr>
        <w:pStyle w:val="berschrift2"/>
        <w:spacing w:before="240" w:after="120" w:line="288" w:lineRule="auto"/>
        <w:rPr>
          <w:iCs w:val="0"/>
        </w:rPr>
      </w:pPr>
      <w:r w:rsidRPr="0053290E">
        <w:t>Anregungen für den Unterricht</w:t>
      </w:r>
    </w:p>
    <w:p w:rsidR="008C6A1C" w:rsidRDefault="008C6A1C" w:rsidP="008C6A1C">
      <w:pPr>
        <w:pStyle w:val="Flietext"/>
        <w:spacing w:before="120" w:line="288" w:lineRule="auto"/>
      </w:pPr>
      <w:r>
        <w:t>Möglichkeiten der Leistungsdifferenzierung:</w:t>
      </w:r>
    </w:p>
    <w:p w:rsidR="008C6A1C" w:rsidRDefault="008C6A1C" w:rsidP="008C6A1C">
      <w:pPr>
        <w:pStyle w:val="Aufzhlung"/>
        <w:numPr>
          <w:ilvl w:val="0"/>
          <w:numId w:val="12"/>
        </w:numPr>
        <w:spacing w:before="0" w:line="288" w:lineRule="auto"/>
        <w:ind w:left="426" w:hanging="426"/>
      </w:pPr>
      <w:r>
        <w:t>leichter: arbeitsteiliges Bearbeiten der Teilaufgaben (jedes Gruppenmitglied konzentriert sich nur auf einen Sprecher – Vergleich der Lösungen in den einzelnen Arbeitsgruppen)</w:t>
      </w:r>
    </w:p>
    <w:p w:rsidR="008C6A1C" w:rsidRDefault="008C6A1C" w:rsidP="008C6A1C">
      <w:pPr>
        <w:pStyle w:val="Aufzhlung"/>
        <w:numPr>
          <w:ilvl w:val="0"/>
          <w:numId w:val="12"/>
        </w:numPr>
        <w:spacing w:before="0" w:line="288" w:lineRule="auto"/>
        <w:ind w:left="426" w:hanging="426"/>
      </w:pPr>
      <w:r>
        <w:t xml:space="preserve">leichter: Fragen nach Einzelinformationen (z. B. Spieldauer, Preise) </w:t>
      </w:r>
    </w:p>
    <w:p w:rsidR="008C6A1C" w:rsidRDefault="008C6A1C" w:rsidP="008C6A1C">
      <w:pPr>
        <w:pStyle w:val="Aufzhlung"/>
        <w:numPr>
          <w:ilvl w:val="0"/>
          <w:numId w:val="12"/>
        </w:numPr>
        <w:spacing w:before="0" w:line="288" w:lineRule="auto"/>
        <w:ind w:left="426" w:hanging="426"/>
      </w:pPr>
      <w:r>
        <w:t>leichter: textnähere Formulierung der Antwortmöglichkeiten</w:t>
      </w:r>
    </w:p>
    <w:p w:rsidR="008C6A1C" w:rsidRDefault="008C6A1C" w:rsidP="008C6A1C">
      <w:pPr>
        <w:pStyle w:val="Aufzhlung"/>
        <w:numPr>
          <w:ilvl w:val="0"/>
          <w:numId w:val="12"/>
        </w:numPr>
        <w:spacing w:before="0" w:line="288" w:lineRule="auto"/>
        <w:ind w:left="426" w:hanging="426"/>
      </w:pPr>
      <w:r w:rsidRPr="007A3588">
        <w:t>sch</w:t>
      </w:r>
      <w:r>
        <w:t xml:space="preserve">wieriger: Kurzantworten </w:t>
      </w:r>
    </w:p>
    <w:p w:rsidR="008C6A1C" w:rsidRDefault="008C6A1C" w:rsidP="008C6A1C">
      <w:pPr>
        <w:pStyle w:val="Aufzhlung"/>
        <w:numPr>
          <w:ilvl w:val="0"/>
          <w:numId w:val="0"/>
        </w:numPr>
        <w:spacing w:before="120" w:after="120" w:line="288" w:lineRule="auto"/>
      </w:pPr>
      <w:r>
        <w:t xml:space="preserve">Weiterarbeit am Thema: </w:t>
      </w:r>
    </w:p>
    <w:p w:rsidR="008C6A1C" w:rsidRDefault="008C6A1C" w:rsidP="008C6A1C">
      <w:pPr>
        <w:pStyle w:val="Aufzhlung"/>
        <w:numPr>
          <w:ilvl w:val="0"/>
          <w:numId w:val="12"/>
        </w:numPr>
        <w:spacing w:before="0" w:line="288" w:lineRule="auto"/>
        <w:ind w:left="426" w:hanging="426"/>
      </w:pPr>
      <w:r w:rsidRPr="009A2BD2">
        <w:t>Wortschatzzusammenstellung</w:t>
      </w:r>
      <w:r>
        <w:t xml:space="preserve"> zum Thema </w:t>
      </w:r>
      <w:r w:rsidRPr="00BF1FD9">
        <w:t>Freizeitakti</w:t>
      </w:r>
      <w:r>
        <w:t>vitäten oder Computernutzung</w:t>
      </w:r>
    </w:p>
    <w:p w:rsidR="008C6A1C" w:rsidRDefault="008C6A1C" w:rsidP="008C6A1C">
      <w:pPr>
        <w:pStyle w:val="Aufzhlung"/>
        <w:numPr>
          <w:ilvl w:val="0"/>
          <w:numId w:val="12"/>
        </w:numPr>
        <w:spacing w:before="0" w:line="288" w:lineRule="auto"/>
        <w:ind w:left="426" w:hanging="426"/>
      </w:pPr>
      <w:r>
        <w:t>Sprechen: eine Klassenumfrage zu Nutzungshäufigkeit, –</w:t>
      </w:r>
      <w:proofErr w:type="spellStart"/>
      <w:r>
        <w:t>zeitpunkt</w:t>
      </w:r>
      <w:proofErr w:type="spellEnd"/>
      <w:r>
        <w:t xml:space="preserve"> und –</w:t>
      </w:r>
      <w:proofErr w:type="spellStart"/>
      <w:r>
        <w:t>anlass</w:t>
      </w:r>
      <w:proofErr w:type="spellEnd"/>
      <w:r>
        <w:t xml:space="preserve"> des Computers durchführen</w:t>
      </w:r>
    </w:p>
    <w:p w:rsidR="008C6A1C" w:rsidRDefault="008C6A1C" w:rsidP="008C6A1C">
      <w:pPr>
        <w:pStyle w:val="Aufzhlung"/>
        <w:numPr>
          <w:ilvl w:val="0"/>
          <w:numId w:val="12"/>
        </w:numPr>
        <w:spacing w:before="0" w:line="288" w:lineRule="auto"/>
        <w:ind w:left="426" w:hanging="426"/>
      </w:pPr>
      <w:r>
        <w:t>Leseverstehen: Beschreibungen/Rezensionen von Computerspielen im Internet lesen und ein Lieblingsspiel auswählen – die Auswahl begründen</w:t>
      </w:r>
    </w:p>
    <w:p w:rsidR="008C6A1C" w:rsidRDefault="008C6A1C" w:rsidP="008C6A1C">
      <w:pPr>
        <w:pStyle w:val="Aufzhlung"/>
        <w:numPr>
          <w:ilvl w:val="0"/>
          <w:numId w:val="12"/>
        </w:numPr>
        <w:spacing w:before="0" w:line="288" w:lineRule="auto"/>
        <w:ind w:left="426" w:hanging="426"/>
      </w:pPr>
      <w:r>
        <w:t xml:space="preserve">Sprechen: eine Diskussion über die sinnvolle Nutzung des Computers und die Rolle von Computerspielen führen </w:t>
      </w:r>
    </w:p>
    <w:p w:rsidR="008C6A1C" w:rsidRDefault="008C6A1C" w:rsidP="008C6A1C">
      <w:pPr>
        <w:pStyle w:val="Aufzhlung"/>
        <w:numPr>
          <w:ilvl w:val="0"/>
          <w:numId w:val="0"/>
        </w:numPr>
        <w:spacing w:before="120" w:after="120" w:line="288" w:lineRule="auto"/>
        <w:ind w:left="357" w:hanging="357"/>
      </w:pPr>
      <w:r>
        <w:t xml:space="preserve">Weiterarbeit am </w:t>
      </w:r>
      <w:proofErr w:type="spellStart"/>
      <w:r>
        <w:t>Hörstil</w:t>
      </w:r>
      <w:proofErr w:type="spellEnd"/>
      <w:r>
        <w:t>:</w:t>
      </w:r>
    </w:p>
    <w:p w:rsidR="008C6A1C" w:rsidRDefault="008C6A1C" w:rsidP="008C6A1C">
      <w:pPr>
        <w:pStyle w:val="Aufzhlung"/>
        <w:numPr>
          <w:ilvl w:val="0"/>
          <w:numId w:val="12"/>
        </w:numPr>
        <w:spacing w:before="0" w:line="288" w:lineRule="auto"/>
        <w:ind w:left="426" w:hanging="426"/>
      </w:pPr>
      <w:r>
        <w:lastRenderedPageBreak/>
        <w:t xml:space="preserve">Aufgaben zu verschiedenen Hörstilen nacheinander lösen, z. B. zunächst Hauptaussage durch globales Hörverstehen erfassen (z. B. Meinung, Thema, Problem) und danach durch detailliertes Hörverstehen Gründe, Einstellungen u. ä. erkennen </w:t>
      </w:r>
    </w:p>
    <w:p w:rsidR="008C6A1C" w:rsidRDefault="008C6A1C" w:rsidP="008C6A1C">
      <w:pPr>
        <w:pStyle w:val="Aufzhlung"/>
        <w:numPr>
          <w:ilvl w:val="0"/>
          <w:numId w:val="12"/>
        </w:numPr>
        <w:spacing w:before="0" w:line="288" w:lineRule="auto"/>
        <w:ind w:left="426" w:hanging="426"/>
      </w:pPr>
      <w:r>
        <w:t xml:space="preserve">Schwierigkeit durch sprachliche Komplexität der Texte, Informationsdichte und Themen, die nicht aus dem unmittelbaren Alltag stammen, steigern </w:t>
      </w:r>
    </w:p>
    <w:p w:rsidR="00005275" w:rsidRPr="00CC50BC" w:rsidRDefault="00005275" w:rsidP="009A2247">
      <w:pPr>
        <w:pStyle w:val="berschrift2"/>
      </w:pPr>
    </w:p>
    <w:p w:rsidR="00143DF0" w:rsidRDefault="00143DF0" w:rsidP="00005275">
      <w:pPr>
        <w:rPr>
          <w:sz w:val="24"/>
        </w:rPr>
      </w:pPr>
    </w:p>
    <w:sectPr w:rsidR="00143DF0" w:rsidSect="00D60A6F">
      <w:footerReference w:type="even" r:id="rId12"/>
      <w:footerReference w:type="default" r:id="rId13"/>
      <w:headerReference w:type="first" r:id="rId14"/>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905" w:rsidRDefault="00AD0905">
      <w:r>
        <w:separator/>
      </w:r>
    </w:p>
  </w:endnote>
  <w:endnote w:type="continuationSeparator" w:id="0">
    <w:p w:rsidR="00AD0905" w:rsidRDefault="00AD0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PC LAYOUT">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8C6A1C">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905" w:rsidRDefault="00AD0905">
      <w:r>
        <w:separator/>
      </w:r>
    </w:p>
  </w:footnote>
  <w:footnote w:type="continuationSeparator" w:id="0">
    <w:p w:rsidR="00AD0905" w:rsidRDefault="00AD0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005275">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CF812EE"/>
    <w:lvl w:ilvl="0">
      <w:start w:val="1"/>
      <w:numFmt w:val="bullet"/>
      <w:pStyle w:val="IQBTabKstchen"/>
      <w:lvlText w:val="0"/>
      <w:lvlJc w:val="left"/>
      <w:pPr>
        <w:tabs>
          <w:tab w:val="num" w:pos="609"/>
        </w:tabs>
        <w:ind w:left="609" w:hanging="360"/>
      </w:pPr>
      <w:rPr>
        <w:rFonts w:ascii="DPC LAYOUT" w:hAnsi="DPC LAYOUT" w:hint="default"/>
        <w:sz w:val="32"/>
        <w:szCs w:val="32"/>
      </w:rPr>
    </w:lvl>
  </w:abstractNum>
  <w:abstractNum w:abstractNumId="1"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7"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72C00D9"/>
    <w:multiLevelType w:val="hybridMultilevel"/>
    <w:tmpl w:val="6956728E"/>
    <w:lvl w:ilvl="0" w:tplc="4860DC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CA36FA"/>
    <w:multiLevelType w:val="hybridMultilevel"/>
    <w:tmpl w:val="B024E2E6"/>
    <w:lvl w:ilvl="0" w:tplc="F41A3256">
      <w:numFmt w:val="bullet"/>
      <w:lvlText w:val="-"/>
      <w:lvlJc w:val="left"/>
      <w:pPr>
        <w:tabs>
          <w:tab w:val="num" w:pos="2751"/>
        </w:tabs>
        <w:ind w:left="2751" w:hanging="34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2"/>
  </w:num>
  <w:num w:numId="6">
    <w:abstractNumId w:val="7"/>
  </w:num>
  <w:num w:numId="7">
    <w:abstractNumId w:val="4"/>
  </w:num>
  <w:num w:numId="8">
    <w:abstractNumId w:val="9"/>
  </w:num>
  <w:num w:numId="9">
    <w:abstractNumId w:val="10"/>
  </w:num>
  <w:num w:numId="10">
    <w:abstractNumId w:val="6"/>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275"/>
    <w:rsid w:val="00005275"/>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4D9A"/>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8788C"/>
    <w:rsid w:val="008A232F"/>
    <w:rsid w:val="008A3DCE"/>
    <w:rsid w:val="008A71E5"/>
    <w:rsid w:val="008B6AC4"/>
    <w:rsid w:val="008C6A1C"/>
    <w:rsid w:val="008D109B"/>
    <w:rsid w:val="008F090C"/>
    <w:rsid w:val="009050C7"/>
    <w:rsid w:val="009359CE"/>
    <w:rsid w:val="0094519A"/>
    <w:rsid w:val="00945238"/>
    <w:rsid w:val="00951247"/>
    <w:rsid w:val="009556C1"/>
    <w:rsid w:val="009946D3"/>
    <w:rsid w:val="009A2247"/>
    <w:rsid w:val="009A5EFF"/>
    <w:rsid w:val="009A6A91"/>
    <w:rsid w:val="009C47FB"/>
    <w:rsid w:val="009D2627"/>
    <w:rsid w:val="00A03F22"/>
    <w:rsid w:val="00A12FBB"/>
    <w:rsid w:val="00A13FB9"/>
    <w:rsid w:val="00A45470"/>
    <w:rsid w:val="00A527A9"/>
    <w:rsid w:val="00A74051"/>
    <w:rsid w:val="00A8242C"/>
    <w:rsid w:val="00AD0905"/>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D747C"/>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B277E5"/>
  <w15:docId w15:val="{DEC91571-EF7A-4831-8248-3DB02B8F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3C4D9A"/>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C4D9A"/>
    <w:rPr>
      <w:rFonts w:ascii="Tahoma" w:hAnsi="Tahoma" w:cs="Tahoma"/>
      <w:sz w:val="16"/>
      <w:szCs w:val="16"/>
    </w:rPr>
  </w:style>
  <w:style w:type="paragraph" w:customStyle="1" w:styleId="IQB-Aufgabentitel">
    <w:name w:val="IQB-Aufgabentitel"/>
    <w:basedOn w:val="IQBTHAufgabentitel"/>
    <w:rsid w:val="008C6A1C"/>
    <w:pPr>
      <w:spacing w:before="240" w:line="288" w:lineRule="auto"/>
    </w:pPr>
    <w:rPr>
      <w:lang w:val="x-none"/>
    </w:rPr>
  </w:style>
  <w:style w:type="paragraph" w:customStyle="1" w:styleId="IQB-Teilaufgabentitel">
    <w:name w:val="IQB-Teilaufgabentitel"/>
    <w:basedOn w:val="Standard"/>
    <w:link w:val="IQB-TeilaufgabentitelZchn"/>
    <w:rsid w:val="008C6A1C"/>
    <w:pPr>
      <w:keepNext/>
      <w:spacing w:before="240"/>
    </w:pPr>
  </w:style>
  <w:style w:type="paragraph" w:customStyle="1" w:styleId="IQB-RSNormal">
    <w:name w:val="IQB-RSNormal"/>
    <w:basedOn w:val="Standard"/>
    <w:link w:val="IQB-RSNormalZchn"/>
    <w:qFormat/>
    <w:rsid w:val="008C6A1C"/>
    <w:pPr>
      <w:spacing w:after="0"/>
    </w:pPr>
    <w:rPr>
      <w:rFonts w:cs="Arial"/>
      <w:sz w:val="18"/>
      <w:szCs w:val="22"/>
    </w:rPr>
  </w:style>
  <w:style w:type="character" w:customStyle="1" w:styleId="IQB-RSNormalZchn">
    <w:name w:val="IQB-RSNormal Zchn"/>
    <w:link w:val="IQB-RSNormal"/>
    <w:rsid w:val="008C6A1C"/>
    <w:rPr>
      <w:rFonts w:ascii="Arial" w:hAnsi="Arial" w:cs="Arial"/>
      <w:sz w:val="18"/>
      <w:szCs w:val="22"/>
    </w:rPr>
  </w:style>
  <w:style w:type="paragraph" w:customStyle="1" w:styleId="IQB-RSCodeValue">
    <w:name w:val="IQB-RSCodeValue"/>
    <w:basedOn w:val="Standard"/>
    <w:link w:val="IQB-RSCodeValueZchn"/>
    <w:qFormat/>
    <w:rsid w:val="008C6A1C"/>
    <w:pPr>
      <w:spacing w:after="0"/>
    </w:pPr>
    <w:rPr>
      <w:rFonts w:cs="Arial"/>
      <w:sz w:val="18"/>
    </w:rPr>
  </w:style>
  <w:style w:type="character" w:customStyle="1" w:styleId="IQB-RSCodeValueZchn">
    <w:name w:val="IQB-RSCodeValue Zchn"/>
    <w:link w:val="IQB-RSCodeValue"/>
    <w:rsid w:val="008C6A1C"/>
    <w:rPr>
      <w:rFonts w:ascii="Arial" w:hAnsi="Arial" w:cs="Arial"/>
      <w:sz w:val="18"/>
      <w:szCs w:val="24"/>
    </w:rPr>
  </w:style>
  <w:style w:type="character" w:customStyle="1" w:styleId="IQB-TeilaufgabentitelZchn">
    <w:name w:val="IQB-Teilaufgabentitel Zchn"/>
    <w:link w:val="IQB-Teilaufgabentitel"/>
    <w:rsid w:val="008C6A1C"/>
    <w:rPr>
      <w:rFonts w:ascii="Arial" w:hAnsi="Arial"/>
      <w:sz w:val="22"/>
      <w:szCs w:val="24"/>
    </w:rPr>
  </w:style>
  <w:style w:type="paragraph" w:customStyle="1" w:styleId="IQB-Merkmal">
    <w:name w:val="IQB-Merkmal"/>
    <w:basedOn w:val="Standard"/>
    <w:link w:val="IQB-MerkmalZchn"/>
    <w:qFormat/>
    <w:rsid w:val="008C6A1C"/>
    <w:pPr>
      <w:spacing w:after="0"/>
    </w:pPr>
    <w:rPr>
      <w:sz w:val="18"/>
    </w:rPr>
  </w:style>
  <w:style w:type="paragraph" w:customStyle="1" w:styleId="IQB-Merkmalswert">
    <w:name w:val="IQB-Merkmalswert"/>
    <w:basedOn w:val="Standard"/>
    <w:link w:val="IQB-MerkmalswertZchn"/>
    <w:qFormat/>
    <w:rsid w:val="008C6A1C"/>
    <w:pPr>
      <w:spacing w:after="0"/>
    </w:pPr>
    <w:rPr>
      <w:sz w:val="18"/>
    </w:rPr>
  </w:style>
  <w:style w:type="character" w:customStyle="1" w:styleId="IQB-MerkmalZchn">
    <w:name w:val="IQB-Merkmal Zchn"/>
    <w:link w:val="IQB-Merkmal"/>
    <w:rsid w:val="008C6A1C"/>
    <w:rPr>
      <w:rFonts w:ascii="Arial" w:hAnsi="Arial"/>
      <w:sz w:val="18"/>
      <w:szCs w:val="24"/>
    </w:rPr>
  </w:style>
  <w:style w:type="character" w:customStyle="1" w:styleId="IQB-MerkmalswertZchn">
    <w:name w:val="IQB-Merkmalswert Zchn"/>
    <w:link w:val="IQB-Merkmalswert"/>
    <w:rsid w:val="008C6A1C"/>
    <w:rPr>
      <w:rFonts w:ascii="Arial" w:hAnsi="Arial"/>
      <w:sz w:val="18"/>
      <w:szCs w:val="24"/>
    </w:rPr>
  </w:style>
  <w:style w:type="paragraph" w:customStyle="1" w:styleId="IQB-Teilaufgabengrafik">
    <w:name w:val="IQB-Teilaufgabengrafik"/>
    <w:basedOn w:val="Standard"/>
    <w:link w:val="IQB-TeilaufgabengrafikZchn"/>
    <w:qFormat/>
    <w:rsid w:val="008C6A1C"/>
    <w:pPr>
      <w:widowControl w:val="0"/>
      <w:spacing w:after="120"/>
    </w:pPr>
    <w:rPr>
      <w:sz w:val="24"/>
    </w:rPr>
  </w:style>
  <w:style w:type="character" w:customStyle="1" w:styleId="IQB-TeilaufgabengrafikZchn">
    <w:name w:val="IQB-Teilaufgabengrafik Zchn"/>
    <w:link w:val="IQB-Teilaufgabengrafik"/>
    <w:rsid w:val="008C6A1C"/>
    <w:rPr>
      <w:rFonts w:ascii="Arial" w:hAnsi="Arial"/>
      <w:sz w:val="24"/>
      <w:szCs w:val="24"/>
    </w:rPr>
  </w:style>
  <w:style w:type="paragraph" w:customStyle="1" w:styleId="IQB-Aufgabengrafik">
    <w:name w:val="IQB-Aufgabengrafik"/>
    <w:basedOn w:val="Standard"/>
    <w:link w:val="IQB-AufgabengrafikZchn"/>
    <w:qFormat/>
    <w:rsid w:val="008C6A1C"/>
    <w:pPr>
      <w:widowControl w:val="0"/>
      <w:spacing w:after="120"/>
    </w:pPr>
    <w:rPr>
      <w:sz w:val="24"/>
    </w:rPr>
  </w:style>
  <w:style w:type="character" w:customStyle="1" w:styleId="IQB-AufgabengrafikZchn">
    <w:name w:val="IQB-Aufgabengrafik Zchn"/>
    <w:link w:val="IQB-Aufgabengrafik"/>
    <w:rsid w:val="008C6A1C"/>
    <w:rPr>
      <w:rFonts w:ascii="Arial" w:hAnsi="Arial"/>
      <w:sz w:val="24"/>
      <w:szCs w:val="24"/>
    </w:rPr>
  </w:style>
  <w:style w:type="paragraph" w:customStyle="1" w:styleId="IQBTabKstchen">
    <w:name w:val="IQB_TabKästchen"/>
    <w:basedOn w:val="Standard"/>
    <w:rsid w:val="008C6A1C"/>
    <w:pPr>
      <w:numPr>
        <w:numId w:val="11"/>
      </w:numPr>
      <w:suppressLineNumbers/>
      <w:tabs>
        <w:tab w:val="clear" w:pos="609"/>
        <w:tab w:val="num" w:pos="360"/>
        <w:tab w:val="num" w:pos="2751"/>
      </w:tabs>
      <w:suppressAutoHyphens/>
      <w:spacing w:before="120" w:after="120" w:line="360" w:lineRule="exact"/>
      <w:ind w:left="0" w:firstLine="0"/>
      <w:jc w:val="center"/>
    </w:pPr>
    <w:rPr>
      <w:sz w:val="24"/>
    </w:rPr>
  </w:style>
  <w:style w:type="character" w:styleId="Fett">
    <w:name w:val="Strong"/>
    <w:uiPriority w:val="22"/>
    <w:qFormat/>
    <w:rsid w:val="008C6A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Template>
  <TotalTime>0</TotalTime>
  <Pages>3</Pages>
  <Words>488</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Lisa Koch</cp:lastModifiedBy>
  <cp:revision>3</cp:revision>
  <cp:lastPrinted>2007-01-11T14:25:00Z</cp:lastPrinted>
  <dcterms:created xsi:type="dcterms:W3CDTF">2015-12-11T13:29:00Z</dcterms:created>
  <dcterms:modified xsi:type="dcterms:W3CDTF">2020-11-09T16:43:00Z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